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316C14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4574BA">
        <w:rPr>
          <w:sz w:val="32"/>
          <w:szCs w:val="32"/>
        </w:rPr>
        <w:t>за</w:t>
      </w:r>
      <w:r w:rsidR="00E14580" w:rsidRPr="004574BA">
        <w:rPr>
          <w:b/>
          <w:sz w:val="32"/>
          <w:szCs w:val="32"/>
        </w:rPr>
        <w:t xml:space="preserve"> </w:t>
      </w:r>
      <w:r w:rsidR="005C17A3" w:rsidRPr="004574BA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16C14" w:rsidRDefault="00316C14" w:rsidP="00316C1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16C14" w:rsidRPr="00F949F2" w:rsidRDefault="00316C14" w:rsidP="00316C1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9F2">
        <w:rPr>
          <w:sz w:val="22"/>
          <w:szCs w:val="22"/>
        </w:rPr>
        <w:t xml:space="preserve">В своей деятельности администрация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сельского поселения   руководствуется нормативно-правовыми актами Российской Федерации, </w:t>
      </w:r>
      <w:r>
        <w:rPr>
          <w:sz w:val="22"/>
          <w:szCs w:val="22"/>
        </w:rPr>
        <w:t xml:space="preserve">Волгоградской </w:t>
      </w:r>
      <w:r w:rsidRPr="00F949F2">
        <w:rPr>
          <w:sz w:val="22"/>
          <w:szCs w:val="22"/>
        </w:rPr>
        <w:t xml:space="preserve">области, соблюдение которых подлежит проверке в процессе осуществления муниципального  контроля: </w:t>
      </w:r>
    </w:p>
    <w:p w:rsidR="00316C14" w:rsidRPr="00F949F2" w:rsidRDefault="00316C14" w:rsidP="00316C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949F2">
        <w:rPr>
          <w:rFonts w:ascii="Times New Roman" w:hAnsi="Times New Roman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16C14" w:rsidRPr="00F949F2" w:rsidRDefault="00316C14" w:rsidP="00316C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lang w:eastAsia="ru-RU"/>
        </w:rPr>
      </w:pPr>
      <w:r w:rsidRPr="00F949F2">
        <w:rPr>
          <w:rFonts w:ascii="Times New Roman" w:hAnsi="Times New Roman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контроля»;</w:t>
      </w:r>
    </w:p>
    <w:p w:rsidR="00316C14" w:rsidRDefault="00316C14" w:rsidP="00316C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F949F2">
        <w:rPr>
          <w:rFonts w:ascii="Times New Roman" w:hAnsi="Times New Roman"/>
          <w:lang w:eastAsia="ru-RU"/>
        </w:rPr>
        <w:t>Федеральный Закон от 02.05.2006 г. № 59-ФЗ «О порядке рассмотрения обращений граждан РФ»;</w:t>
      </w:r>
    </w:p>
    <w:p w:rsidR="00FF25D6" w:rsidRPr="00F949F2" w:rsidRDefault="00CE353B" w:rsidP="00CE353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CE353B">
        <w:rPr>
          <w:rFonts w:ascii="Times New Roman" w:hAnsi="Times New Roman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lang w:eastAsia="ru-RU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F219B1" w:rsidRPr="00F949F2" w:rsidRDefault="00F219B1" w:rsidP="00F219B1">
      <w:pPr>
        <w:pStyle w:val="a9"/>
        <w:ind w:firstLine="567"/>
        <w:jc w:val="both"/>
        <w:rPr>
          <w:sz w:val="22"/>
          <w:szCs w:val="22"/>
        </w:rPr>
      </w:pPr>
      <w:r w:rsidRPr="00F949F2">
        <w:rPr>
          <w:sz w:val="22"/>
          <w:szCs w:val="22"/>
        </w:rPr>
        <w:t xml:space="preserve">Муниципальный контроль осуществляется администрацией  </w:t>
      </w:r>
      <w:r>
        <w:rPr>
          <w:sz w:val="22"/>
          <w:szCs w:val="22"/>
        </w:rPr>
        <w:t xml:space="preserve">Краснянского </w:t>
      </w:r>
      <w:r w:rsidRPr="00F949F2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Кумылженского муниципального района Волгоградской области</w:t>
      </w:r>
      <w:r w:rsidRPr="00F949F2">
        <w:rPr>
          <w:sz w:val="22"/>
          <w:szCs w:val="22"/>
        </w:rPr>
        <w:t xml:space="preserve">. </w:t>
      </w:r>
    </w:p>
    <w:p w:rsidR="00F219B1" w:rsidRDefault="00F219B1" w:rsidP="00F219B1">
      <w:pPr>
        <w:pStyle w:val="ConsPlusNormal"/>
        <w:ind w:firstLine="540"/>
        <w:jc w:val="both"/>
      </w:pPr>
      <w:r w:rsidRPr="00F949F2">
        <w:rPr>
          <w:rFonts w:ascii="Times New Roman" w:hAnsi="Times New Roman" w:cs="Times New Roman"/>
          <w:sz w:val="22"/>
          <w:szCs w:val="22"/>
        </w:rPr>
        <w:t xml:space="preserve">Муниципальный контроль осуществляется должностными лицами администрации  </w:t>
      </w:r>
      <w:r>
        <w:rPr>
          <w:rFonts w:ascii="Times New Roman" w:hAnsi="Times New Roman" w:cs="Times New Roman"/>
          <w:sz w:val="22"/>
          <w:szCs w:val="22"/>
        </w:rPr>
        <w:t>Краснянского</w:t>
      </w:r>
      <w:r w:rsidRPr="00F949F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Кумылженского муниципального района Волгоградской области</w:t>
      </w:r>
      <w:r w:rsidRPr="00F949F2">
        <w:rPr>
          <w:rFonts w:ascii="Times New Roman" w:hAnsi="Times New Roman" w:cs="Times New Roman"/>
          <w:sz w:val="22"/>
          <w:szCs w:val="22"/>
        </w:rPr>
        <w:t>.</w:t>
      </w:r>
      <w:r w:rsidRPr="00FD3E90">
        <w:t xml:space="preserve"> </w:t>
      </w:r>
    </w:p>
    <w:p w:rsidR="00CE353B" w:rsidRPr="00CE353B" w:rsidRDefault="00CE353B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53B"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контроль,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1) соблюдать законодательство Российской Федерации, права и законные интересы контролируемых лиц;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</w:t>
      </w:r>
      <w:r w:rsidRPr="00CE353B">
        <w:rPr>
          <w:rFonts w:ascii="Times New Roman" w:hAnsi="Times New Roman" w:cs="Times New Roman"/>
          <w:sz w:val="22"/>
          <w:szCs w:val="22"/>
        </w:rPr>
        <w:lastRenderedPageBreak/>
        <w:t>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CE353B" w:rsidRP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CE353B" w:rsidRDefault="00CE353B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353B">
        <w:rPr>
          <w:rFonts w:ascii="Times New Roman" w:hAnsi="Times New Roman" w:cs="Times New Roman"/>
          <w:sz w:val="22"/>
          <w:szCs w:val="22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</w:t>
      </w:r>
      <w:r w:rsidRPr="00CE353B">
        <w:rPr>
          <w:rFonts w:ascii="Times New Roman" w:hAnsi="Times New Roman" w:cs="Times New Roman"/>
          <w:sz w:val="22"/>
          <w:szCs w:val="22"/>
        </w:rPr>
        <w:lastRenderedPageBreak/>
        <w:t>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219B1" w:rsidRPr="00FD3E90" w:rsidRDefault="00F219B1" w:rsidP="00CE35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>Нормативно-правовые акты, регламентирующие порядок осуществления муниципального контроля:</w:t>
      </w:r>
    </w:p>
    <w:p w:rsidR="00F219B1" w:rsidRPr="00FD3E90" w:rsidRDefault="00F219B1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>Кодекс Российской Федерации об административных правонарушениях от 30 декабря 2001 года № 195-ФЗ ("Российская газета", N 256, 31 декабря 2001 года);</w:t>
      </w:r>
    </w:p>
    <w:p w:rsidR="00F219B1" w:rsidRPr="00FD3E90" w:rsidRDefault="00F219B1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219B1" w:rsidRPr="00FD3E90" w:rsidRDefault="00F219B1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>Федеральный закон от 10 декабря 1995 года № 196-ФЗ «О безопасности дорожного движения»;</w:t>
      </w:r>
    </w:p>
    <w:p w:rsidR="00F219B1" w:rsidRPr="00FD3E90" w:rsidRDefault="00F219B1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>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("Российская газета", № 266, 30 декабря 2008 года);</w:t>
      </w:r>
    </w:p>
    <w:p w:rsidR="00F219B1" w:rsidRPr="00FD3E90" w:rsidRDefault="00F219B1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 xml:space="preserve">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FD3E90">
          <w:rPr>
            <w:rFonts w:ascii="Times New Roman" w:hAnsi="Times New Roman" w:cs="Times New Roman"/>
            <w:sz w:val="22"/>
            <w:szCs w:val="22"/>
          </w:rPr>
          <w:t>2010 г</w:t>
        </w:r>
      </w:smartTag>
      <w:r w:rsidRPr="00FD3E90">
        <w:rPr>
          <w:rFonts w:ascii="Times New Roman" w:hAnsi="Times New Roman" w:cs="Times New Roman"/>
          <w:sz w:val="22"/>
          <w:szCs w:val="22"/>
        </w:rPr>
        <w:t xml:space="preserve">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 июля </w:t>
      </w:r>
      <w:smartTag w:uri="urn:schemas-microsoft-com:office:smarttags" w:element="metricconverter">
        <w:smartTagPr>
          <w:attr w:name="ProductID" w:val="2010 г"/>
        </w:smartTagPr>
        <w:r w:rsidRPr="00FD3E90">
          <w:rPr>
            <w:rFonts w:ascii="Times New Roman" w:hAnsi="Times New Roman" w:cs="Times New Roman"/>
            <w:sz w:val="22"/>
            <w:szCs w:val="22"/>
          </w:rPr>
          <w:t>2010 г</w:t>
        </w:r>
      </w:smartTag>
      <w:r w:rsidRPr="00FD3E90">
        <w:rPr>
          <w:rFonts w:ascii="Times New Roman" w:hAnsi="Times New Roman" w:cs="Times New Roman"/>
          <w:sz w:val="22"/>
          <w:szCs w:val="22"/>
        </w:rPr>
        <w:t>., № 28, ст. 3706);</w:t>
      </w:r>
    </w:p>
    <w:p w:rsidR="00F219B1" w:rsidRPr="00FD3E90" w:rsidRDefault="00F219B1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>Приказ Генпрокуратуры России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(документ не опубликован);</w:t>
      </w:r>
    </w:p>
    <w:p w:rsidR="00F219B1" w:rsidRDefault="00F219B1" w:rsidP="00F219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3E90">
        <w:rPr>
          <w:rFonts w:ascii="Times New Roman" w:hAnsi="Times New Roman" w:cs="Times New Roman"/>
          <w:sz w:val="22"/>
          <w:szCs w:val="22"/>
        </w:rPr>
        <w:t>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:rsidR="00FF25D6" w:rsidRDefault="00FF25D6" w:rsidP="00FF25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Совета Краснянского сельского поселения </w:t>
      </w:r>
      <w:r w:rsidRPr="00FF25D6">
        <w:rPr>
          <w:rFonts w:ascii="Times New Roman" w:hAnsi="Times New Roman" w:cs="Times New Roman"/>
          <w:sz w:val="22"/>
          <w:szCs w:val="22"/>
        </w:rPr>
        <w:t>Кумылженского муниципального района Волгоградской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 от 09.08.2021 № 9/1-С «</w:t>
      </w:r>
      <w:r w:rsidRPr="00FF25D6">
        <w:rPr>
          <w:rFonts w:ascii="Times New Roman" w:hAnsi="Times New Roman" w:cs="Times New Roman"/>
          <w:sz w:val="22"/>
          <w:szCs w:val="22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2"/>
          <w:szCs w:val="22"/>
        </w:rPr>
        <w:t>»;</w:t>
      </w:r>
    </w:p>
    <w:p w:rsidR="00FF25D6" w:rsidRDefault="00FF25D6" w:rsidP="00FF25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Совета Краснянского сельского поселения Кумылженского муниципального района Волгоградской области от 09.08.2021 № 9/2-С «</w:t>
      </w:r>
      <w:r w:rsidRPr="00FF25D6">
        <w:rPr>
          <w:rFonts w:ascii="Times New Roman" w:hAnsi="Times New Roman" w:cs="Times New Roman"/>
          <w:sz w:val="22"/>
          <w:szCs w:val="22"/>
        </w:rPr>
        <w:t>Об утверждении Положения о муниципальном контроле в сфере благоустройства в Краснянском сельском поселении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2"/>
          <w:szCs w:val="22"/>
        </w:rPr>
        <w:t>»;</w:t>
      </w:r>
    </w:p>
    <w:p w:rsidR="00FF25D6" w:rsidRDefault="00FF25D6" w:rsidP="00FF25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5D6">
        <w:rPr>
          <w:rFonts w:ascii="Times New Roman" w:hAnsi="Times New Roman" w:cs="Times New Roman"/>
          <w:sz w:val="22"/>
          <w:szCs w:val="22"/>
        </w:rPr>
        <w:t>Решение Совета Краснянского сельского поселения Кумылженского муниципального района Волгоградской области от 09.08.2021 № 9/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F25D6">
        <w:rPr>
          <w:rFonts w:ascii="Times New Roman" w:hAnsi="Times New Roman" w:cs="Times New Roman"/>
          <w:sz w:val="22"/>
          <w:szCs w:val="22"/>
        </w:rPr>
        <w:t>-С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FF25D6">
        <w:rPr>
          <w:rFonts w:ascii="Times New Roman" w:hAnsi="Times New Roman" w:cs="Times New Roman"/>
          <w:sz w:val="22"/>
          <w:szCs w:val="22"/>
        </w:rPr>
        <w:t xml:space="preserve">Об утверждении Положения о муниципальном жилищном контроле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25D6">
        <w:rPr>
          <w:rFonts w:ascii="Times New Roman" w:hAnsi="Times New Roman" w:cs="Times New Roman"/>
          <w:sz w:val="22"/>
          <w:szCs w:val="22"/>
        </w:rPr>
        <w:t>на территории Краснянского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2"/>
          <w:szCs w:val="22"/>
        </w:rPr>
        <w:t>»;</w:t>
      </w:r>
    </w:p>
    <w:p w:rsidR="00316C14" w:rsidRDefault="00316C14" w:rsidP="00316C14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F949F2">
        <w:rPr>
          <w:rFonts w:ascii="Times New Roman" w:hAnsi="Times New Roman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lang w:eastAsia="ru-RU"/>
        </w:rPr>
        <w:t>Краснянского</w:t>
      </w:r>
      <w:r w:rsidRPr="00F949F2">
        <w:rPr>
          <w:rFonts w:ascii="Times New Roman" w:hAnsi="Times New Roman"/>
          <w:lang w:eastAsia="ru-RU"/>
        </w:rPr>
        <w:t xml:space="preserve"> сельского поселения  от </w:t>
      </w:r>
      <w:r>
        <w:rPr>
          <w:rFonts w:ascii="Times New Roman" w:hAnsi="Times New Roman"/>
          <w:lang w:eastAsia="ru-RU"/>
        </w:rPr>
        <w:t>27</w:t>
      </w:r>
      <w:r w:rsidRPr="00F949F2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02</w:t>
      </w:r>
      <w:r w:rsidRPr="00F949F2">
        <w:rPr>
          <w:rFonts w:ascii="Times New Roman" w:hAnsi="Times New Roman"/>
          <w:lang w:eastAsia="ru-RU"/>
        </w:rPr>
        <w:t>.201</w:t>
      </w:r>
      <w:r>
        <w:rPr>
          <w:rFonts w:ascii="Times New Roman" w:hAnsi="Times New Roman"/>
          <w:lang w:eastAsia="ru-RU"/>
        </w:rPr>
        <w:t>7</w:t>
      </w:r>
      <w:r w:rsidRPr="00F949F2">
        <w:rPr>
          <w:rFonts w:ascii="Times New Roman" w:hAnsi="Times New Roman"/>
          <w:lang w:eastAsia="ru-RU"/>
        </w:rPr>
        <w:t xml:space="preserve"> г. № </w:t>
      </w:r>
      <w:r>
        <w:rPr>
          <w:rFonts w:ascii="Times New Roman" w:hAnsi="Times New Roman"/>
          <w:lang w:eastAsia="ru-RU"/>
        </w:rPr>
        <w:t>14 «О принятии Административного регламента исполнения муниципальной функции по о</w:t>
      </w:r>
      <w:r w:rsidRPr="00F949F2">
        <w:rPr>
          <w:rFonts w:ascii="Times New Roman" w:hAnsi="Times New Roman"/>
          <w:lang w:eastAsia="ru-RU"/>
        </w:rPr>
        <w:t>существлени</w:t>
      </w:r>
      <w:r>
        <w:rPr>
          <w:rFonts w:ascii="Times New Roman" w:hAnsi="Times New Roman"/>
          <w:lang w:eastAsia="ru-RU"/>
        </w:rPr>
        <w:t>ю</w:t>
      </w:r>
      <w:r w:rsidRPr="00F949F2">
        <w:rPr>
          <w:rFonts w:ascii="Times New Roman" w:hAnsi="Times New Roman"/>
          <w:lang w:eastAsia="ru-RU"/>
        </w:rPr>
        <w:t xml:space="preserve"> муниципального контроля за </w:t>
      </w:r>
      <w:r>
        <w:rPr>
          <w:rFonts w:ascii="Times New Roman" w:hAnsi="Times New Roman"/>
          <w:lang w:eastAsia="ru-RU"/>
        </w:rPr>
        <w:t xml:space="preserve">обеспечением </w:t>
      </w:r>
      <w:r w:rsidRPr="00F949F2">
        <w:rPr>
          <w:rFonts w:ascii="Times New Roman" w:hAnsi="Times New Roman"/>
          <w:lang w:eastAsia="ru-RU"/>
        </w:rPr>
        <w:t xml:space="preserve">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lang w:eastAsia="ru-RU"/>
        </w:rPr>
        <w:t>Краснянского</w:t>
      </w:r>
      <w:r w:rsidRPr="00F949F2">
        <w:rPr>
          <w:rFonts w:ascii="Times New Roman" w:hAnsi="Times New Roman"/>
          <w:lang w:eastAsia="ru-RU"/>
        </w:rPr>
        <w:t xml:space="preserve"> сельского поселения</w:t>
      </w:r>
      <w:r>
        <w:rPr>
          <w:rFonts w:ascii="Times New Roman" w:hAnsi="Times New Roman"/>
          <w:lang w:eastAsia="ru-RU"/>
        </w:rPr>
        <w:t xml:space="preserve"> Кумылженского муниципального района Волгоградской области</w:t>
      </w:r>
      <w:r w:rsidRPr="00F949F2">
        <w:rPr>
          <w:rFonts w:ascii="Times New Roman" w:hAnsi="Times New Roman"/>
          <w:lang w:eastAsia="ru-RU"/>
        </w:rPr>
        <w:t>»;</w:t>
      </w:r>
    </w:p>
    <w:p w:rsidR="00F219B1" w:rsidRPr="00F949F2" w:rsidRDefault="00F219B1" w:rsidP="00F219B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949F2">
        <w:rPr>
          <w:rFonts w:cs="Tahoma"/>
          <w:sz w:val="22"/>
          <w:szCs w:val="22"/>
        </w:rPr>
        <w:t xml:space="preserve">Муниципальный контроль осуществляется в форме проведения плановых и внеплановых проверок исполнения законодательства Российской Федерации, </w:t>
      </w:r>
      <w:r>
        <w:rPr>
          <w:rFonts w:cs="Tahoma"/>
          <w:sz w:val="22"/>
          <w:szCs w:val="22"/>
        </w:rPr>
        <w:t>Волгоградской</w:t>
      </w:r>
      <w:r w:rsidRPr="00F949F2">
        <w:rPr>
          <w:rFonts w:cs="Tahoma"/>
          <w:sz w:val="22"/>
          <w:szCs w:val="22"/>
        </w:rPr>
        <w:t xml:space="preserve"> области и правовых актов, указанных в разделе «состояние нормативно-правового регулирования в области муниципального контроля</w:t>
      </w:r>
      <w:r w:rsidRPr="00F949F2">
        <w:rPr>
          <w:sz w:val="22"/>
          <w:szCs w:val="22"/>
        </w:rPr>
        <w:t xml:space="preserve"> 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сельского поселения </w:t>
      </w:r>
      <w:r w:rsidRPr="00F949F2">
        <w:rPr>
          <w:rFonts w:cs="Tahoma"/>
          <w:sz w:val="22"/>
          <w:szCs w:val="22"/>
        </w:rPr>
        <w:t>».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11792" w:rsidRPr="00F949F2" w:rsidRDefault="00E11792" w:rsidP="00E11792">
      <w:pPr>
        <w:shd w:val="clear" w:color="auto" w:fill="FFFFFF"/>
        <w:ind w:firstLine="567"/>
        <w:jc w:val="both"/>
        <w:rPr>
          <w:rFonts w:cs="Tahoma"/>
          <w:sz w:val="22"/>
          <w:szCs w:val="22"/>
        </w:rPr>
      </w:pPr>
      <w:r w:rsidRPr="00F949F2">
        <w:rPr>
          <w:rFonts w:cs="Tahoma"/>
          <w:sz w:val="22"/>
          <w:szCs w:val="22"/>
        </w:rPr>
        <w:t>В 20</w:t>
      </w:r>
      <w:r>
        <w:rPr>
          <w:rFonts w:cs="Tahoma"/>
          <w:sz w:val="22"/>
          <w:szCs w:val="22"/>
        </w:rPr>
        <w:t>21</w:t>
      </w:r>
      <w:r w:rsidRPr="00F949F2">
        <w:rPr>
          <w:rFonts w:cs="Tahoma"/>
          <w:sz w:val="22"/>
          <w:szCs w:val="22"/>
        </w:rPr>
        <w:t xml:space="preserve"> году финансовые средства на мероприятия по проведению муниципального контроля не выделялись.</w:t>
      </w:r>
    </w:p>
    <w:p w:rsidR="00E11792" w:rsidRPr="00F949F2" w:rsidRDefault="00E11792" w:rsidP="00E11792">
      <w:pPr>
        <w:shd w:val="clear" w:color="auto" w:fill="FFFFFF"/>
        <w:ind w:firstLine="567"/>
        <w:jc w:val="both"/>
        <w:rPr>
          <w:sz w:val="22"/>
          <w:szCs w:val="22"/>
        </w:rPr>
      </w:pPr>
      <w:r w:rsidRPr="00F949F2">
        <w:rPr>
          <w:sz w:val="22"/>
          <w:szCs w:val="22"/>
        </w:rPr>
        <w:t xml:space="preserve">Мероприятия по повышению квалификации работников, выполняющих функции по муниципальному контролю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сельского поселения  в 20</w:t>
      </w:r>
      <w:r>
        <w:rPr>
          <w:sz w:val="22"/>
          <w:szCs w:val="22"/>
        </w:rPr>
        <w:t xml:space="preserve">21 </w:t>
      </w:r>
      <w:r w:rsidRPr="00F949F2">
        <w:rPr>
          <w:sz w:val="22"/>
          <w:szCs w:val="22"/>
        </w:rPr>
        <w:t>г. 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11792" w:rsidRPr="00F949F2" w:rsidRDefault="00E11792" w:rsidP="00E11792">
      <w:pPr>
        <w:pStyle w:val="ind"/>
        <w:spacing w:before="0" w:after="0"/>
        <w:ind w:firstLine="567"/>
        <w:rPr>
          <w:sz w:val="22"/>
          <w:szCs w:val="22"/>
        </w:rPr>
      </w:pPr>
      <w:r w:rsidRPr="00F949F2">
        <w:rPr>
          <w:sz w:val="22"/>
          <w:szCs w:val="22"/>
        </w:rPr>
        <w:t xml:space="preserve">За отчетный период плановых и внеплановых проверок муниципального контроля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 сельского поселения, не проводилось. К проведению мероприятий по муниципальному контролю эксперты и экспертные организации в 20</w:t>
      </w:r>
      <w:r>
        <w:rPr>
          <w:sz w:val="22"/>
          <w:szCs w:val="22"/>
        </w:rPr>
        <w:t>21</w:t>
      </w:r>
      <w:r w:rsidRPr="00F949F2">
        <w:rPr>
          <w:sz w:val="22"/>
          <w:szCs w:val="22"/>
        </w:rPr>
        <w:t xml:space="preserve"> году не привлекались. </w:t>
      </w:r>
    </w:p>
    <w:p w:rsidR="00E11792" w:rsidRPr="00F949F2" w:rsidRDefault="00E11792" w:rsidP="00E11792">
      <w:pPr>
        <w:pStyle w:val="ind"/>
        <w:spacing w:before="0" w:after="0"/>
        <w:ind w:firstLine="567"/>
        <w:rPr>
          <w:sz w:val="22"/>
          <w:szCs w:val="22"/>
        </w:rPr>
      </w:pPr>
      <w:r w:rsidRPr="00F949F2">
        <w:rPr>
          <w:sz w:val="22"/>
          <w:szCs w:val="22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сроки утверждается, согласовывается с прокуратурой план проведения плановых проверок юридических лиц и индивидуальных предпринимателей администрацией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сельского поселения на соответствующий год</w:t>
      </w:r>
      <w:r>
        <w:rPr>
          <w:sz w:val="22"/>
          <w:szCs w:val="22"/>
        </w:rPr>
        <w:t xml:space="preserve"> план не разрабатывался и не утверждался.</w:t>
      </w:r>
      <w:r w:rsidRPr="00F949F2">
        <w:rPr>
          <w:sz w:val="22"/>
          <w:szCs w:val="22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11792" w:rsidRPr="00F949F2" w:rsidRDefault="00E11792" w:rsidP="00E117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F949F2">
        <w:rPr>
          <w:sz w:val="22"/>
          <w:szCs w:val="22"/>
        </w:rPr>
        <w:t xml:space="preserve">Администрацией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 сельского поселения  ведется постоянная работа с устными и письменными обращениями  граждан о нарушениях в сфере дорожного законодательства. </w:t>
      </w:r>
    </w:p>
    <w:p w:rsidR="00E11792" w:rsidRPr="00F949F2" w:rsidRDefault="00E11792" w:rsidP="00E117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F949F2">
        <w:rPr>
          <w:sz w:val="22"/>
          <w:szCs w:val="22"/>
        </w:rPr>
        <w:t xml:space="preserve">Должностными лицами, осуществляющими муниципальный контроль за обеспечением сохранности автомобильных дорог местного значения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 сельского поселения,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Федерации. Так как в рамках установленной компетенции администрация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сельского поселения  не обладает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дорожного законодательства,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(привлечения нарушителя к административной ответственности, выдачи предписания об устранении нарушения законодательства и контроля за исполнением выданного предписания).</w:t>
      </w:r>
    </w:p>
    <w:p w:rsidR="00E11792" w:rsidRPr="00F949F2" w:rsidRDefault="00E11792" w:rsidP="00E117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F949F2">
        <w:rPr>
          <w:sz w:val="22"/>
          <w:szCs w:val="22"/>
        </w:rPr>
        <w:t>В 20</w:t>
      </w:r>
      <w:r w:rsidR="004574BA">
        <w:rPr>
          <w:sz w:val="22"/>
          <w:szCs w:val="22"/>
        </w:rPr>
        <w:t>21</w:t>
      </w:r>
      <w:r w:rsidRPr="00F949F2">
        <w:rPr>
          <w:sz w:val="22"/>
          <w:szCs w:val="22"/>
        </w:rPr>
        <w:t xml:space="preserve"> году должностными лицами, осуществляющими муниципальный контроль за обеспечением сохранности автомобильных дорог местного значения </w:t>
      </w:r>
      <w:r>
        <w:rPr>
          <w:sz w:val="22"/>
          <w:szCs w:val="22"/>
        </w:rPr>
        <w:t>Краснянского</w:t>
      </w:r>
      <w:r w:rsidRPr="00F949F2">
        <w:rPr>
          <w:sz w:val="22"/>
          <w:szCs w:val="22"/>
        </w:rPr>
        <w:t xml:space="preserve"> сельского поселения, материалов по проверкам выполнения обязательных требований к использованию и содержанию законодательства в соответствующие службы, не направлялось. </w:t>
      </w:r>
    </w:p>
    <w:p w:rsidR="00E11792" w:rsidRPr="00F949F2" w:rsidRDefault="00E11792" w:rsidP="00E117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F949F2">
        <w:rPr>
          <w:sz w:val="22"/>
          <w:szCs w:val="22"/>
        </w:rPr>
        <w:t xml:space="preserve">Оспаривания в суде юридическими лицами и индивидуальными предпринимателями </w:t>
      </w:r>
      <w:r w:rsidRPr="00F949F2">
        <w:rPr>
          <w:sz w:val="22"/>
          <w:szCs w:val="22"/>
        </w:rPr>
        <w:lastRenderedPageBreak/>
        <w:t>результатов проведения в отношении их мероприятий по соблюдению законодательства, не проводились.</w:t>
      </w:r>
    </w:p>
    <w:p w:rsidR="00E11792" w:rsidRPr="00F949F2" w:rsidRDefault="00E11792" w:rsidP="00E117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F949F2">
        <w:rPr>
          <w:sz w:val="22"/>
          <w:szCs w:val="22"/>
        </w:rPr>
        <w:t xml:space="preserve">В целях просвещения и информирования населения о правовых актах в сфере дорожного законодательства ведется работа со средствами массовой информации.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574BA" w:rsidRPr="004574BA" w:rsidRDefault="004574BA" w:rsidP="004574BA">
      <w:pPr>
        <w:ind w:firstLine="708"/>
        <w:jc w:val="both"/>
        <w:rPr>
          <w:b/>
          <w:u w:val="single"/>
        </w:rPr>
      </w:pPr>
      <w:r w:rsidRPr="004574BA">
        <w:t>В 2021 году муниципальный контроль в отношении юридических лиц и индивидуальных предпринимателей в рамках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проводился, в связи с вступлением в силу с 31 июля 2020 года Федерального закона № 248-ФЗ «О государственном контроле (надзоре) и муниципальном контроле в Российской Федерации».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6"/>
        <w:gridCol w:w="1505"/>
      </w:tblGrid>
      <w:tr w:rsidR="004574BA" w:rsidRPr="00F949F2" w:rsidTr="00DD72AA">
        <w:tc>
          <w:tcPr>
            <w:tcW w:w="8472" w:type="dxa"/>
          </w:tcPr>
          <w:p w:rsidR="004574BA" w:rsidRPr="00F949F2" w:rsidRDefault="004574BA" w:rsidP="00DD72AA">
            <w:pPr>
              <w:jc w:val="center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Показатели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%</w:t>
            </w:r>
          </w:p>
        </w:tc>
      </w:tr>
      <w:tr w:rsidR="004574BA" w:rsidRPr="00F949F2" w:rsidTr="00DD72AA">
        <w:trPr>
          <w:trHeight w:val="863"/>
        </w:trPr>
        <w:tc>
          <w:tcPr>
            <w:tcW w:w="8472" w:type="dxa"/>
          </w:tcPr>
          <w:p w:rsidR="004574BA" w:rsidRPr="00F949F2" w:rsidRDefault="004574BA" w:rsidP="00DD72AA">
            <w:pPr>
              <w:jc w:val="both"/>
              <w:rPr>
                <w:color w:val="222222"/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20</w:t>
            </w:r>
            <w:r w:rsidRPr="00F949F2">
              <w:rPr>
                <w:sz w:val="22"/>
                <w:szCs w:val="22"/>
              </w:rPr>
              <w:t xml:space="preserve"> год план не утверждался</w:t>
            </w:r>
          </w:p>
        </w:tc>
      </w:tr>
      <w:tr w:rsidR="004574BA" w:rsidRPr="00F949F2" w:rsidTr="00DD72AA">
        <w:tc>
          <w:tcPr>
            <w:tcW w:w="8472" w:type="dxa"/>
          </w:tcPr>
          <w:p w:rsidR="004574BA" w:rsidRPr="00F949F2" w:rsidRDefault="004574BA" w:rsidP="00DD72AA">
            <w:pPr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 xml:space="preserve"> </w:t>
            </w:r>
            <w:r w:rsidRPr="00F949F2">
              <w:rPr>
                <w:color w:val="222222"/>
                <w:sz w:val="22"/>
                <w:szCs w:val="22"/>
              </w:rPr>
              <w:sym w:font="Symbol" w:char="F0BE"/>
            </w:r>
          </w:p>
        </w:tc>
      </w:tr>
      <w:tr w:rsidR="004574BA" w:rsidRPr="00F949F2" w:rsidTr="00DD72AA">
        <w:trPr>
          <w:trHeight w:val="415"/>
        </w:trPr>
        <w:tc>
          <w:tcPr>
            <w:tcW w:w="8472" w:type="dxa"/>
          </w:tcPr>
          <w:p w:rsidR="004574BA" w:rsidRPr="00F949F2" w:rsidRDefault="004574BA" w:rsidP="00DD72AA">
            <w:pPr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доля проведенных внеплановых проверок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rPr>
          <w:trHeight w:val="1271"/>
        </w:trPr>
        <w:tc>
          <w:tcPr>
            <w:tcW w:w="8472" w:type="dxa"/>
          </w:tcPr>
          <w:p w:rsidR="004574BA" w:rsidRPr="00F949F2" w:rsidRDefault="004574BA" w:rsidP="00DD72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rPr>
          <w:trHeight w:val="1114"/>
        </w:trPr>
        <w:tc>
          <w:tcPr>
            <w:tcW w:w="8472" w:type="dxa"/>
          </w:tcPr>
          <w:p w:rsidR="004574BA" w:rsidRPr="00F949F2" w:rsidRDefault="004574BA" w:rsidP="00DD72AA">
            <w:pPr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 xml:space="preserve">доля заявлений администрации </w:t>
            </w:r>
            <w:r>
              <w:rPr>
                <w:sz w:val="22"/>
                <w:szCs w:val="22"/>
              </w:rPr>
              <w:t>Краснянского</w:t>
            </w:r>
            <w:r w:rsidRPr="00F949F2">
              <w:rPr>
                <w:sz w:val="22"/>
                <w:szCs w:val="22"/>
              </w:rPr>
              <w:t xml:space="preserve"> сельского поселения 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rPr>
          <w:trHeight w:val="846"/>
        </w:trPr>
        <w:tc>
          <w:tcPr>
            <w:tcW w:w="8472" w:type="dxa"/>
          </w:tcPr>
          <w:p w:rsidR="004574BA" w:rsidRPr="00F949F2" w:rsidRDefault="004574BA" w:rsidP="00DD72AA">
            <w:pPr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rPr>
          <w:trHeight w:val="2184"/>
        </w:trPr>
        <w:tc>
          <w:tcPr>
            <w:tcW w:w="8472" w:type="dxa"/>
          </w:tcPr>
          <w:p w:rsidR="004574BA" w:rsidRPr="00F949F2" w:rsidRDefault="004574BA" w:rsidP="00DD72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rPr>
          <w:trHeight w:val="2343"/>
        </w:trPr>
        <w:tc>
          <w:tcPr>
            <w:tcW w:w="8472" w:type="dxa"/>
          </w:tcPr>
          <w:p w:rsidR="004574BA" w:rsidRPr="00F949F2" w:rsidRDefault="004574BA" w:rsidP="00DD72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rPr>
          <w:trHeight w:val="702"/>
        </w:trPr>
        <w:tc>
          <w:tcPr>
            <w:tcW w:w="8472" w:type="dxa"/>
          </w:tcPr>
          <w:p w:rsidR="004574BA" w:rsidRPr="00F949F2" w:rsidRDefault="004574BA" w:rsidP="00DD72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rPr>
          <w:trHeight w:val="967"/>
        </w:trPr>
        <w:tc>
          <w:tcPr>
            <w:tcW w:w="8472" w:type="dxa"/>
          </w:tcPr>
          <w:p w:rsidR="004574BA" w:rsidRPr="00F949F2" w:rsidRDefault="004574BA" w:rsidP="00DD72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</w:p>
        </w:tc>
      </w:tr>
      <w:tr w:rsidR="004574BA" w:rsidRPr="00F949F2" w:rsidTr="00DD72AA">
        <w:trPr>
          <w:trHeight w:val="1531"/>
        </w:trPr>
        <w:tc>
          <w:tcPr>
            <w:tcW w:w="8472" w:type="dxa"/>
          </w:tcPr>
          <w:p w:rsidR="004574BA" w:rsidRPr="00F949F2" w:rsidRDefault="004574BA" w:rsidP="00DD72AA">
            <w:pPr>
              <w:jc w:val="both"/>
              <w:rPr>
                <w:sz w:val="22"/>
                <w:szCs w:val="22"/>
              </w:rPr>
            </w:pPr>
            <w:r w:rsidRPr="00F949F2">
              <w:rPr>
                <w:sz w:val="22"/>
                <w:szCs w:val="22"/>
              </w:rPr>
              <w:t xml:space="preserve">доля проверок, проведенных администрацией </w:t>
            </w:r>
            <w:r>
              <w:rPr>
                <w:sz w:val="22"/>
                <w:szCs w:val="22"/>
              </w:rPr>
              <w:t>Краснянского</w:t>
            </w:r>
            <w:r w:rsidRPr="00F949F2">
              <w:rPr>
                <w:sz w:val="22"/>
                <w:szCs w:val="22"/>
              </w:rPr>
              <w:t xml:space="preserve"> сельского поселения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>
              <w:rPr>
                <w:sz w:val="22"/>
                <w:szCs w:val="22"/>
              </w:rPr>
              <w:t>Краснянского</w:t>
            </w:r>
            <w:r w:rsidRPr="00F949F2">
              <w:rPr>
                <w:sz w:val="22"/>
                <w:szCs w:val="22"/>
              </w:rPr>
              <w:t xml:space="preserve">  сельского поселения, осуществившим такие проверки, применены меры дисциплинарного наказания (в процентах от общего числа проведенных проверок)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  <w:tr w:rsidR="004574BA" w:rsidRPr="00F949F2" w:rsidTr="00DD72AA">
        <w:tc>
          <w:tcPr>
            <w:tcW w:w="8472" w:type="dxa"/>
          </w:tcPr>
          <w:p w:rsidR="004574BA" w:rsidRPr="00F949F2" w:rsidRDefault="004574BA" w:rsidP="00DD72AA">
            <w:pPr>
              <w:jc w:val="both"/>
              <w:rPr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2" w:type="dxa"/>
          </w:tcPr>
          <w:p w:rsidR="004574BA" w:rsidRPr="00F949F2" w:rsidRDefault="004574BA" w:rsidP="00DD72AA">
            <w:pPr>
              <w:jc w:val="center"/>
              <w:rPr>
                <w:color w:val="222222"/>
                <w:sz w:val="22"/>
                <w:szCs w:val="22"/>
              </w:rPr>
            </w:pPr>
            <w:r w:rsidRPr="00F949F2">
              <w:rPr>
                <w:color w:val="222222"/>
                <w:sz w:val="22"/>
                <w:szCs w:val="22"/>
              </w:rPr>
              <w:t>-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4574BA" w:rsidRDefault="00886888" w:rsidP="00886888">
      <w:pPr>
        <w:rPr>
          <w:sz w:val="32"/>
          <w:szCs w:val="32"/>
        </w:rPr>
      </w:pPr>
    </w:p>
    <w:p w:rsidR="004574BA" w:rsidRDefault="004574BA" w:rsidP="004574BA">
      <w:pPr>
        <w:ind w:firstLine="567"/>
        <w:jc w:val="both"/>
        <w:rPr>
          <w:sz w:val="22"/>
          <w:szCs w:val="22"/>
        </w:rPr>
      </w:pPr>
      <w:r w:rsidRPr="0078643F">
        <w:rPr>
          <w:sz w:val="22"/>
          <w:szCs w:val="22"/>
        </w:rPr>
        <w:t>Выводы и предложения по результатам муниципального контроля сделать не представляется возможным, так как на те</w:t>
      </w:r>
      <w:r>
        <w:rPr>
          <w:sz w:val="22"/>
          <w:szCs w:val="22"/>
        </w:rPr>
        <w:t>рритории Краснянского сельского</w:t>
      </w:r>
      <w:r w:rsidRPr="0078643F">
        <w:rPr>
          <w:sz w:val="22"/>
          <w:szCs w:val="22"/>
        </w:rPr>
        <w:t xml:space="preserve"> поселения в 20</w:t>
      </w:r>
      <w:r>
        <w:rPr>
          <w:sz w:val="22"/>
          <w:szCs w:val="22"/>
        </w:rPr>
        <w:t>21</w:t>
      </w:r>
      <w:r w:rsidRPr="0078643F">
        <w:rPr>
          <w:sz w:val="22"/>
          <w:szCs w:val="22"/>
        </w:rPr>
        <w:t xml:space="preserve"> году муниципальный контроль не проводился.</w:t>
      </w:r>
      <w:r w:rsidRPr="00F949F2">
        <w:rPr>
          <w:sz w:val="22"/>
          <w:szCs w:val="22"/>
        </w:rPr>
        <w:t xml:space="preserve"> </w:t>
      </w:r>
    </w:p>
    <w:p w:rsidR="004574BA" w:rsidRPr="00F949F2" w:rsidRDefault="004574BA" w:rsidP="004574BA">
      <w:pPr>
        <w:ind w:firstLine="567"/>
        <w:jc w:val="both"/>
        <w:rPr>
          <w:sz w:val="22"/>
          <w:szCs w:val="2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5F" w:rsidRDefault="00F7485F" w:rsidP="00404177">
      <w:r>
        <w:separator/>
      </w:r>
    </w:p>
  </w:endnote>
  <w:endnote w:type="continuationSeparator" w:id="0">
    <w:p w:rsidR="00F7485F" w:rsidRDefault="00F7485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DD5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5F" w:rsidRDefault="00F7485F" w:rsidP="00404177">
      <w:r>
        <w:separator/>
      </w:r>
    </w:p>
  </w:footnote>
  <w:footnote w:type="continuationSeparator" w:id="0">
    <w:p w:rsidR="00F7485F" w:rsidRDefault="00F7485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D108F"/>
    <w:rsid w:val="002941EF"/>
    <w:rsid w:val="00316C14"/>
    <w:rsid w:val="00404177"/>
    <w:rsid w:val="0042029C"/>
    <w:rsid w:val="004574BA"/>
    <w:rsid w:val="005542D8"/>
    <w:rsid w:val="005A1F26"/>
    <w:rsid w:val="005B5D4B"/>
    <w:rsid w:val="005C17A3"/>
    <w:rsid w:val="00625DD5"/>
    <w:rsid w:val="00633908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CE353B"/>
    <w:rsid w:val="00D524F4"/>
    <w:rsid w:val="00DA0BF9"/>
    <w:rsid w:val="00DD671F"/>
    <w:rsid w:val="00E11792"/>
    <w:rsid w:val="00E14580"/>
    <w:rsid w:val="00E823FF"/>
    <w:rsid w:val="00F219B1"/>
    <w:rsid w:val="00F31C3C"/>
    <w:rsid w:val="00F7485F"/>
    <w:rsid w:val="00FE4CAC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219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F219B1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316C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E11792"/>
    <w:pPr>
      <w:spacing w:before="120" w:after="120"/>
      <w:ind w:firstLine="320"/>
      <w:jc w:val="both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2022-01-11T18:24:00Z</dcterms:modified>
</cp:coreProperties>
</file>